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3D" w:rsidRPr="001B753D" w:rsidRDefault="001B753D" w:rsidP="001B753D">
      <w:pPr>
        <w:pStyle w:val="western"/>
        <w:spacing w:before="120" w:beforeAutospacing="0" w:after="120"/>
        <w:jc w:val="center"/>
        <w:rPr>
          <w:b/>
        </w:rPr>
      </w:pPr>
      <w:r w:rsidRPr="001B753D">
        <w:rPr>
          <w:b/>
          <w:bCs/>
        </w:rPr>
        <w:t>AVALIAÇÃO</w:t>
      </w:r>
    </w:p>
    <w:p w:rsidR="001B753D" w:rsidRPr="00CE1E9D" w:rsidRDefault="001B753D" w:rsidP="001B753D">
      <w:pPr>
        <w:pStyle w:val="western"/>
        <w:spacing w:before="120" w:beforeAutospacing="0" w:after="120"/>
        <w:jc w:val="center"/>
      </w:pPr>
      <w:r w:rsidRPr="00CE1E9D">
        <w:t>PARTE I</w:t>
      </w:r>
    </w:p>
    <w:p w:rsidR="001B753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b/>
          <w:bCs/>
        </w:rPr>
        <w:t>Órgão/Setor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Nome do órgão ou setor visitado. Deve vir acompanhado do nome dos órgãos a que se subordina, obedecendo a ordem hierárquica dos mesmos.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Exemplo: Arquivo Público do Estado do Espírito Santo (APEES) – Coordenação de Gestão de Documentos (COGED).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b/>
          <w:bCs/>
        </w:rPr>
        <w:t>Data da avaliação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Refere-se à data de realização da avaliação, incluindo dia, mês e ano.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b/>
          <w:bCs/>
        </w:rPr>
        <w:t>Endereço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Localização do órgão visitado. Deverá incluir: rua, número e/ou nome do edifício, andar e sala</w:t>
      </w:r>
      <w:r w:rsidRPr="00CE1E9D">
        <w:rPr>
          <w:color w:val="00AE00"/>
        </w:rPr>
        <w:t xml:space="preserve">. 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Número do(s) telefone(s) e/ou ramais encontrado(s) na sala da unidade visitada. No caso de pesquisa fora da cidade, deve ser incluído o código DDD correspondente.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Email do responsável pelo órgão/setor.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b/>
          <w:bCs/>
        </w:rPr>
        <w:t>Competências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Referem-se às competências regimentais contidas em leis, decretos, portarias e outros atos referentes à estrutura organizacional e seu funcionamento.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Exemplo: Coordenação de Gestão de Documentos (COGED)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Competências:</w:t>
      </w:r>
    </w:p>
    <w:p w:rsidR="001B753D" w:rsidRPr="00CE1E9D" w:rsidRDefault="001B753D" w:rsidP="001B753D">
      <w:pPr>
        <w:pStyle w:val="western"/>
        <w:numPr>
          <w:ilvl w:val="0"/>
          <w:numId w:val="3"/>
        </w:numPr>
        <w:spacing w:before="120" w:beforeAutospacing="0" w:after="120"/>
        <w:jc w:val="both"/>
      </w:pPr>
      <w:r w:rsidRPr="00CE1E9D">
        <w:t>Planejar, coordenar e executar as atividades relacionadas com a produção de documentos;</w:t>
      </w:r>
    </w:p>
    <w:p w:rsidR="001B753D" w:rsidRPr="00CE1E9D" w:rsidRDefault="001B753D" w:rsidP="001B753D">
      <w:pPr>
        <w:pStyle w:val="western"/>
        <w:numPr>
          <w:ilvl w:val="0"/>
          <w:numId w:val="3"/>
        </w:numPr>
        <w:spacing w:before="120" w:beforeAutospacing="0" w:after="120"/>
        <w:jc w:val="both"/>
      </w:pPr>
      <w:r w:rsidRPr="00CE1E9D">
        <w:t>Gerenciar programas de gestão de documentos;</w:t>
      </w:r>
    </w:p>
    <w:p w:rsidR="001B753D" w:rsidRPr="00CE1E9D" w:rsidRDefault="001B753D" w:rsidP="001B753D">
      <w:pPr>
        <w:pStyle w:val="western"/>
        <w:numPr>
          <w:ilvl w:val="0"/>
          <w:numId w:val="3"/>
        </w:numPr>
        <w:spacing w:before="120" w:beforeAutospacing="0" w:after="120"/>
        <w:jc w:val="both"/>
      </w:pPr>
      <w:r w:rsidRPr="00CE1E9D">
        <w:t>Gerenciar a transferência e o recolhimento de documentos aos arquivos intermediário e permanente, respectivamente;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  <w:r w:rsidRPr="00CE1E9D">
        <w:rPr>
          <w:b/>
          <w:bCs/>
        </w:rPr>
        <w:t xml:space="preserve">Entrevistados 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 xml:space="preserve">Nome completo do(s) funcionário(s) do setor visitado que </w:t>
      </w:r>
      <w:proofErr w:type="gramStart"/>
      <w:r w:rsidRPr="00CE1E9D">
        <w:t>forneceu(</w:t>
      </w:r>
      <w:proofErr w:type="spellStart"/>
      <w:proofErr w:type="gramEnd"/>
      <w:r w:rsidRPr="00CE1E9D">
        <w:t>ram</w:t>
      </w:r>
      <w:proofErr w:type="spellEnd"/>
      <w:r w:rsidRPr="00CE1E9D">
        <w:t>) dados para o preenchimento do formulário, especificando, ao lado, o(s) cargo(s) respectivo(s).</w:t>
      </w:r>
    </w:p>
    <w:p w:rsidR="001B753D" w:rsidRPr="00CE1E9D" w:rsidRDefault="001B753D" w:rsidP="001B753D">
      <w:pPr>
        <w:pStyle w:val="western"/>
        <w:spacing w:before="120" w:beforeAutospacing="0" w:after="120"/>
        <w:jc w:val="center"/>
      </w:pPr>
    </w:p>
    <w:p w:rsidR="001B753D" w:rsidRPr="004225B8" w:rsidRDefault="001B753D" w:rsidP="001B753D">
      <w:pPr>
        <w:pStyle w:val="western"/>
        <w:spacing w:before="120" w:beforeAutospacing="0" w:after="120"/>
        <w:jc w:val="center"/>
        <w:rPr>
          <w:b/>
        </w:rPr>
      </w:pPr>
      <w:r w:rsidRPr="004225B8">
        <w:rPr>
          <w:b/>
        </w:rPr>
        <w:t>PARTE II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b/>
          <w:bCs/>
        </w:rPr>
        <w:t>Atividade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Corresponde às ações empreendidas pelo órgão no desempenho de suas funções, que atreladas ao objeto em análise, dão origem ao documento.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lastRenderedPageBreak/>
        <w:t>Exemplo: APEES – COGED</w:t>
      </w:r>
    </w:p>
    <w:p w:rsidR="001B753D" w:rsidRPr="00CE1E9D" w:rsidRDefault="001B753D" w:rsidP="001B753D">
      <w:pPr>
        <w:pStyle w:val="western"/>
        <w:numPr>
          <w:ilvl w:val="0"/>
          <w:numId w:val="9"/>
        </w:numPr>
        <w:spacing w:before="120" w:beforeAutospacing="0" w:after="120"/>
        <w:jc w:val="both"/>
      </w:pPr>
      <w:r w:rsidRPr="00CE1E9D">
        <w:t>Competência: Gerenciar programas de gestão de documentos.</w:t>
      </w:r>
    </w:p>
    <w:p w:rsidR="001B753D" w:rsidRPr="00CE1E9D" w:rsidRDefault="001B753D" w:rsidP="001B753D">
      <w:pPr>
        <w:pStyle w:val="western"/>
        <w:numPr>
          <w:ilvl w:val="0"/>
          <w:numId w:val="9"/>
        </w:numPr>
        <w:spacing w:before="120" w:beforeAutospacing="0" w:after="120"/>
        <w:jc w:val="both"/>
      </w:pPr>
      <w:r w:rsidRPr="00CE1E9D">
        <w:t>Atividade: análise e aprovação (ações) de processos de elaboração de instrumentos de gestão arquivística de órgãos do Poder Executivo Estadual (objeto).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Também é necessário selecionar o tipo de atividade (fim ou meio)</w:t>
      </w:r>
    </w:p>
    <w:p w:rsidR="001B753D" w:rsidRPr="00CE1E9D" w:rsidRDefault="001B753D" w:rsidP="001B753D">
      <w:pPr>
        <w:pStyle w:val="western"/>
        <w:numPr>
          <w:ilvl w:val="0"/>
          <w:numId w:val="10"/>
        </w:numPr>
        <w:spacing w:before="120" w:after="120"/>
        <w:jc w:val="both"/>
      </w:pPr>
      <w:r w:rsidRPr="00CE1E9D">
        <w:t>Atividade-fim: Atividade desenvolvida em decorrência da finalidade de uma instituição. Também chamada atividade finalística.</w:t>
      </w:r>
    </w:p>
    <w:p w:rsidR="001B753D" w:rsidRPr="00CE1E9D" w:rsidRDefault="001B753D" w:rsidP="001B753D">
      <w:pPr>
        <w:pStyle w:val="western"/>
        <w:numPr>
          <w:ilvl w:val="0"/>
          <w:numId w:val="10"/>
        </w:numPr>
        <w:spacing w:before="120" w:after="120"/>
        <w:jc w:val="both"/>
      </w:pPr>
      <w:r w:rsidRPr="00CE1E9D">
        <w:t>Atividade-meio: Atividade que dá apoio à consecução das atividades-fim de uma instituição. Também chamada atividade mantenedora.</w:t>
      </w:r>
    </w:p>
    <w:p w:rsidR="001B753D" w:rsidRPr="00CE1E9D" w:rsidRDefault="001B753D" w:rsidP="001B753D">
      <w:pPr>
        <w:pStyle w:val="western"/>
        <w:spacing w:before="120" w:after="120"/>
        <w:jc w:val="both"/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  <w:r w:rsidRPr="00CE1E9D">
        <w:rPr>
          <w:b/>
          <w:bCs/>
        </w:rPr>
        <w:t>Documento (tipo documental)</w:t>
      </w:r>
    </w:p>
    <w:p w:rsidR="001B753D" w:rsidRPr="00CE1E9D" w:rsidRDefault="001B753D" w:rsidP="001B753D">
      <w:pPr>
        <w:pStyle w:val="western"/>
        <w:spacing w:before="120" w:after="120"/>
        <w:jc w:val="both"/>
      </w:pPr>
      <w:r w:rsidRPr="00CE1E9D">
        <w:t xml:space="preserve">Para a identificação da produção documental é necessário analisar os tipos documentais produzidos. O Tipo Documental é a configuração que assume uma espécie documental de acordo com a atividade que a gerou. O tipo documental é composto pela </w:t>
      </w:r>
      <w:r w:rsidRPr="00CE1E9D">
        <w:rPr>
          <w:u w:val="single"/>
        </w:rPr>
        <w:t>espécie</w:t>
      </w:r>
      <w:r w:rsidRPr="00CE1E9D">
        <w:t xml:space="preserve"> + </w:t>
      </w:r>
      <w:r w:rsidRPr="00CE1E9D">
        <w:rPr>
          <w:u w:val="single"/>
        </w:rPr>
        <w:t>ação</w:t>
      </w:r>
      <w:r w:rsidRPr="00CE1E9D">
        <w:t xml:space="preserve"> + </w:t>
      </w:r>
      <w:r w:rsidRPr="00CE1E9D">
        <w:rPr>
          <w:u w:val="single"/>
        </w:rPr>
        <w:t>objeto</w:t>
      </w:r>
      <w:r w:rsidRPr="00CE1E9D">
        <w:t>.  Não se deve confundir com assunto.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>
        <w:rPr>
          <w:noProof/>
        </w:rPr>
        <w:drawing>
          <wp:inline distT="0" distB="0" distL="0" distR="0">
            <wp:extent cx="5762625" cy="30384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b/>
          <w:bCs/>
        </w:rPr>
        <w:t>Descrição e objetivo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Consiste na descrição sumária do documento e das razões de sua criação.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Exemplo: Documento – Parecer de análise e aprovação de instrumentos de gestão arquivístico.</w:t>
      </w:r>
    </w:p>
    <w:p w:rsidR="001B753D" w:rsidRPr="00CE1E9D" w:rsidRDefault="001B753D" w:rsidP="001B753D">
      <w:pPr>
        <w:pStyle w:val="western"/>
        <w:numPr>
          <w:ilvl w:val="0"/>
          <w:numId w:val="8"/>
        </w:numPr>
        <w:spacing w:before="120" w:beforeAutospacing="0" w:after="120"/>
        <w:jc w:val="both"/>
      </w:pPr>
      <w:r w:rsidRPr="00CE1E9D">
        <w:t>Descrição e objetivo: parecer contendo informações relativas à análise de processo encaminhado ao APEES para aprovação do Plano de Classificação e da Tabela de Temporalidade referentes à atividade fim do órgão solicitante.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b/>
          <w:bCs/>
        </w:rPr>
        <w:lastRenderedPageBreak/>
        <w:t>Fundamentação legal ou necessidade administrativa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Refere-se ao ato legal que deu origem ao documento e/ou atividade, tal como decreto, portarias, instruções normativas e outros, acompanhados dos respectivos números e datas de expedições ou publicação no Diário Oficial.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 xml:space="preserve">Exemplo: Lei Complementar n° 370 de 29 de junho de 2006 – </w:t>
      </w:r>
      <w:proofErr w:type="spellStart"/>
      <w:r w:rsidRPr="00CE1E9D">
        <w:t>D.I.O.</w:t>
      </w:r>
      <w:proofErr w:type="spellEnd"/>
      <w:r w:rsidRPr="00CE1E9D">
        <w:t xml:space="preserve"> </w:t>
      </w:r>
      <w:proofErr w:type="gramStart"/>
      <w:r w:rsidRPr="00CE1E9D">
        <w:t>de</w:t>
      </w:r>
      <w:proofErr w:type="gramEnd"/>
      <w:r w:rsidRPr="00CE1E9D">
        <w:t xml:space="preserve"> 03 de julho de 2006.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b/>
          <w:bCs/>
        </w:rPr>
        <w:t>Trâmite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Refere-se ao caminho percorrido pelo documento, necessário ao cumprimento de sua função administrativa. Nesse campo são registrados os passos do trâmite, o órgão correspondente e o objetivo.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Exemplo: Documento – Parecer Técnico de análise e aprovação de instrumentos de gestão arquivística.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Trâmite:</w:t>
      </w:r>
    </w:p>
    <w:p w:rsidR="001B753D" w:rsidRPr="00CE1E9D" w:rsidRDefault="001B753D" w:rsidP="001B753D">
      <w:pPr>
        <w:pStyle w:val="western"/>
        <w:numPr>
          <w:ilvl w:val="0"/>
          <w:numId w:val="2"/>
        </w:numPr>
        <w:spacing w:before="120" w:beforeAutospacing="0" w:after="120"/>
        <w:jc w:val="both"/>
      </w:pPr>
      <w:r w:rsidRPr="00CE1E9D">
        <w:t>Protocolo do APEES – recebe o processo do órgão solicitante e encaminha</w:t>
      </w:r>
    </w:p>
    <w:p w:rsidR="001B753D" w:rsidRPr="00CE1E9D" w:rsidRDefault="001B753D" w:rsidP="001B753D">
      <w:pPr>
        <w:pStyle w:val="western"/>
        <w:numPr>
          <w:ilvl w:val="0"/>
          <w:numId w:val="2"/>
        </w:numPr>
        <w:spacing w:before="120" w:beforeAutospacing="0" w:after="120"/>
        <w:jc w:val="both"/>
      </w:pPr>
      <w:r w:rsidRPr="00CE1E9D">
        <w:t>COGED – analisa o processo e emite o parecer técnico</w:t>
      </w:r>
    </w:p>
    <w:p w:rsidR="001B753D" w:rsidRPr="00CE1E9D" w:rsidRDefault="001B753D" w:rsidP="001B753D">
      <w:pPr>
        <w:pStyle w:val="western"/>
        <w:numPr>
          <w:ilvl w:val="0"/>
          <w:numId w:val="2"/>
        </w:numPr>
        <w:spacing w:before="120" w:beforeAutospacing="0" w:after="120"/>
        <w:jc w:val="both"/>
      </w:pPr>
      <w:r w:rsidRPr="00CE1E9D">
        <w:t>Direção do APEES – aprova o parecer e encaminha ao órgão solicitante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b/>
          <w:bCs/>
        </w:rPr>
        <w:t>Valor primário do documento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Determinação do valor primário do documento, segundo seu uso pelo próprio órgão de origem, tendo em vista os fins para os quais foram criados, quais seja:</w:t>
      </w:r>
    </w:p>
    <w:p w:rsidR="001B753D" w:rsidRPr="00CE1E9D" w:rsidRDefault="001B753D" w:rsidP="001B753D">
      <w:pPr>
        <w:pStyle w:val="western"/>
        <w:numPr>
          <w:ilvl w:val="0"/>
          <w:numId w:val="5"/>
        </w:numPr>
        <w:spacing w:before="120" w:beforeAutospacing="0" w:after="120"/>
        <w:jc w:val="both"/>
      </w:pPr>
      <w:proofErr w:type="gramStart"/>
      <w:r w:rsidRPr="00CE1E9D">
        <w:rPr>
          <w:u w:val="single"/>
        </w:rPr>
        <w:t>administrativo</w:t>
      </w:r>
      <w:proofErr w:type="gramEnd"/>
      <w:r w:rsidRPr="00CE1E9D">
        <w:t xml:space="preserve"> – documentos produzidos em decorrência das atividade-meio desempenhadas pelo órgão.</w:t>
      </w:r>
    </w:p>
    <w:p w:rsidR="001B753D" w:rsidRPr="00CE1E9D" w:rsidRDefault="001B753D" w:rsidP="001B753D">
      <w:pPr>
        <w:pStyle w:val="western"/>
        <w:numPr>
          <w:ilvl w:val="1"/>
          <w:numId w:val="5"/>
        </w:numPr>
        <w:spacing w:before="120" w:beforeAutospacing="0" w:after="120"/>
        <w:jc w:val="both"/>
      </w:pPr>
      <w:r w:rsidRPr="00CE1E9D">
        <w:t>Exemplo: memorando internos, pedidos de licença, frequência de pessoal e outros.</w:t>
      </w:r>
    </w:p>
    <w:p w:rsidR="001B753D" w:rsidRPr="00CE1E9D" w:rsidRDefault="001B753D" w:rsidP="001B753D">
      <w:pPr>
        <w:pStyle w:val="western"/>
        <w:numPr>
          <w:ilvl w:val="0"/>
          <w:numId w:val="5"/>
        </w:numPr>
        <w:spacing w:before="120" w:beforeAutospacing="0" w:after="120"/>
        <w:jc w:val="both"/>
      </w:pPr>
      <w:proofErr w:type="gramStart"/>
      <w:r w:rsidRPr="00CE1E9D">
        <w:rPr>
          <w:u w:val="single"/>
        </w:rPr>
        <w:t>legal</w:t>
      </w:r>
      <w:proofErr w:type="gramEnd"/>
      <w:r w:rsidRPr="00CE1E9D">
        <w:t xml:space="preserve"> – documentos que envolvem direitos a curto ou longo prazo, tanto do governo quanto de terceiros, e que possuem caráter probatório.</w:t>
      </w:r>
    </w:p>
    <w:p w:rsidR="001B753D" w:rsidRPr="00CE1E9D" w:rsidRDefault="001B753D" w:rsidP="001B753D">
      <w:pPr>
        <w:pStyle w:val="western"/>
        <w:numPr>
          <w:ilvl w:val="1"/>
          <w:numId w:val="5"/>
        </w:numPr>
        <w:spacing w:before="120" w:beforeAutospacing="0" w:after="120"/>
        <w:jc w:val="both"/>
      </w:pPr>
      <w:r w:rsidRPr="00CE1E9D">
        <w:t>Exemplo: demonstrativos de frequência, multa, auto de infração e outros.</w:t>
      </w:r>
    </w:p>
    <w:p w:rsidR="001B753D" w:rsidRPr="00CE1E9D" w:rsidRDefault="001B753D" w:rsidP="001B753D">
      <w:pPr>
        <w:pStyle w:val="western"/>
        <w:numPr>
          <w:ilvl w:val="0"/>
          <w:numId w:val="5"/>
        </w:numPr>
        <w:spacing w:before="120" w:beforeAutospacing="0" w:after="120"/>
        <w:jc w:val="both"/>
      </w:pPr>
      <w:proofErr w:type="gramStart"/>
      <w:r w:rsidRPr="00CE1E9D">
        <w:rPr>
          <w:u w:val="single"/>
        </w:rPr>
        <w:t>fiscal</w:t>
      </w:r>
      <w:proofErr w:type="gramEnd"/>
      <w:r w:rsidRPr="00CE1E9D">
        <w:t xml:space="preserve"> – documentos relativos a operações financeiras e a comprovação de despesas e receita.</w:t>
      </w:r>
    </w:p>
    <w:p w:rsidR="001B753D" w:rsidRPr="00CE1E9D" w:rsidRDefault="001B753D" w:rsidP="001B753D">
      <w:pPr>
        <w:pStyle w:val="western"/>
        <w:numPr>
          <w:ilvl w:val="1"/>
          <w:numId w:val="5"/>
        </w:numPr>
        <w:spacing w:before="120" w:beforeAutospacing="0" w:after="120"/>
        <w:jc w:val="both"/>
      </w:pPr>
      <w:r w:rsidRPr="00CE1E9D">
        <w:t>Exemplo: faturas, notas de empenho, recibos, prestações de contas e outros.</w:t>
      </w:r>
    </w:p>
    <w:p w:rsidR="001B753D" w:rsidRPr="00CE1E9D" w:rsidRDefault="001B753D" w:rsidP="001B753D">
      <w:pPr>
        <w:pStyle w:val="western"/>
        <w:numPr>
          <w:ilvl w:val="0"/>
          <w:numId w:val="5"/>
        </w:numPr>
        <w:spacing w:before="120" w:beforeAutospacing="0" w:after="120"/>
        <w:jc w:val="both"/>
      </w:pPr>
      <w:proofErr w:type="gramStart"/>
      <w:r w:rsidRPr="00CE1E9D">
        <w:rPr>
          <w:u w:val="single"/>
        </w:rPr>
        <w:t>técnico</w:t>
      </w:r>
      <w:proofErr w:type="gramEnd"/>
      <w:r w:rsidRPr="00CE1E9D">
        <w:t xml:space="preserve"> – documentos que respondam a questões técnicas relativas às atividades específicas do organismo.</w:t>
      </w:r>
    </w:p>
    <w:p w:rsidR="001B753D" w:rsidRPr="00CE1E9D" w:rsidRDefault="001B753D" w:rsidP="001B753D">
      <w:pPr>
        <w:pStyle w:val="western"/>
        <w:numPr>
          <w:ilvl w:val="1"/>
          <w:numId w:val="5"/>
        </w:numPr>
        <w:spacing w:before="120" w:beforeAutospacing="0" w:after="120"/>
        <w:jc w:val="both"/>
      </w:pPr>
      <w:r w:rsidRPr="00CE1E9D">
        <w:t>Exemplo: projetos, pesquisas, marcas e patentes, plantas, relatórios técnicos e outros.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Determina ainda o prazo de guarda dos documentos segundo sua condição:</w:t>
      </w:r>
    </w:p>
    <w:p w:rsidR="001B753D" w:rsidRPr="00CE1E9D" w:rsidRDefault="001B753D" w:rsidP="001B753D">
      <w:pPr>
        <w:pStyle w:val="western"/>
        <w:numPr>
          <w:ilvl w:val="0"/>
          <w:numId w:val="5"/>
        </w:numPr>
        <w:spacing w:before="120" w:beforeAutospacing="0" w:after="120"/>
        <w:jc w:val="both"/>
      </w:pPr>
      <w:proofErr w:type="gramStart"/>
      <w:r w:rsidRPr="00CE1E9D">
        <w:rPr>
          <w:u w:val="single"/>
        </w:rPr>
        <w:t>vigência</w:t>
      </w:r>
      <w:proofErr w:type="gramEnd"/>
      <w:r w:rsidRPr="00CE1E9D">
        <w:t xml:space="preserve"> - intervalo de tempo durante o qual o documento produz efeitos administrativos e legais plenos, cumprindo as finalidades que determinaram a </w:t>
      </w:r>
      <w:r w:rsidRPr="00CE1E9D">
        <w:lastRenderedPageBreak/>
        <w:t>sua produção. Refere-se ao prazo de guarda do documento no setor, deve ser expresso em texto ou determinado em anos.</w:t>
      </w:r>
    </w:p>
    <w:p w:rsidR="001B753D" w:rsidRPr="00CE1E9D" w:rsidRDefault="001B753D" w:rsidP="001B753D">
      <w:pPr>
        <w:pStyle w:val="western"/>
        <w:numPr>
          <w:ilvl w:val="0"/>
          <w:numId w:val="5"/>
        </w:numPr>
        <w:spacing w:before="120" w:beforeAutospacing="0" w:after="120"/>
        <w:jc w:val="both"/>
      </w:pPr>
      <w:proofErr w:type="gramStart"/>
      <w:r w:rsidRPr="00CE1E9D">
        <w:rPr>
          <w:u w:val="single"/>
        </w:rPr>
        <w:t>prescrição</w:t>
      </w:r>
      <w:proofErr w:type="gramEnd"/>
      <w:r w:rsidRPr="00CE1E9D">
        <w:rPr>
          <w:b/>
        </w:rPr>
        <w:t xml:space="preserve"> </w:t>
      </w:r>
      <w:r w:rsidRPr="00CE1E9D">
        <w:t>- período em que o Órgão, ou qualquer outro interessado, pode invocar a tutela do Poder Judiciário para fazer valer direitos eventualmente violados. Deve ser sempre determinado em anos.</w:t>
      </w:r>
    </w:p>
    <w:p w:rsidR="001B753D" w:rsidRPr="00CE1E9D" w:rsidRDefault="001B753D" w:rsidP="001B753D">
      <w:pPr>
        <w:pStyle w:val="western"/>
        <w:numPr>
          <w:ilvl w:val="0"/>
          <w:numId w:val="5"/>
        </w:numPr>
        <w:spacing w:before="120" w:beforeAutospacing="0" w:after="120"/>
        <w:jc w:val="both"/>
      </w:pPr>
      <w:proofErr w:type="gramStart"/>
      <w:r w:rsidRPr="00CE1E9D">
        <w:rPr>
          <w:u w:val="single"/>
        </w:rPr>
        <w:t>precaução</w:t>
      </w:r>
      <w:proofErr w:type="gramEnd"/>
      <w:r w:rsidRPr="00CE1E9D">
        <w:rPr>
          <w:b/>
        </w:rPr>
        <w:t xml:space="preserve"> </w:t>
      </w:r>
      <w:r w:rsidRPr="00CE1E9D">
        <w:t>- intervalo de tempo durante o qual o Órgão guarda o documento por precaução, antes de eliminá-lo ou encaminhá-lo para guarda permanente. Deve ser sempre determinado em anos.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rPr>
          <w:rFonts w:eastAsia="Calibri"/>
          <w:b/>
          <w:lang w:eastAsia="en-US"/>
        </w:rPr>
        <w:t>Critério utilizado para destinação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Avaliação do documento em relação quanto ao valor primário (administrativo, legal, fiscal ou técnico) ou secundário (informativo ou probatório).</w:t>
      </w:r>
    </w:p>
    <w:p w:rsidR="001B753D" w:rsidRPr="00CE1E9D" w:rsidRDefault="001B753D" w:rsidP="001B753D">
      <w:pPr>
        <w:pStyle w:val="western"/>
        <w:spacing w:before="120" w:beforeAutospacing="0" w:after="120"/>
        <w:ind w:firstLine="360"/>
        <w:jc w:val="both"/>
      </w:pPr>
      <w:r w:rsidRPr="00CE1E9D">
        <w:rPr>
          <w:b/>
        </w:rPr>
        <w:t>Documentos de valor primário e guarda temporária</w:t>
      </w:r>
      <w:r w:rsidRPr="00CE1E9D">
        <w:t>:</w:t>
      </w:r>
    </w:p>
    <w:p w:rsidR="001B753D" w:rsidRPr="00CE1E9D" w:rsidRDefault="001B753D" w:rsidP="001B753D">
      <w:pPr>
        <w:pStyle w:val="western"/>
        <w:numPr>
          <w:ilvl w:val="0"/>
          <w:numId w:val="6"/>
        </w:numPr>
        <w:spacing w:before="120" w:after="120"/>
        <w:jc w:val="both"/>
      </w:pPr>
      <w:r w:rsidRPr="00CE1E9D">
        <w:t>Documentos que sejam cópias ou duplicatas de originais destinados à guarda permanente;</w:t>
      </w:r>
    </w:p>
    <w:p w:rsidR="001B753D" w:rsidRPr="00CE1E9D" w:rsidRDefault="001B753D" w:rsidP="001B753D">
      <w:pPr>
        <w:pStyle w:val="western"/>
        <w:numPr>
          <w:ilvl w:val="0"/>
          <w:numId w:val="6"/>
        </w:numPr>
        <w:spacing w:before="120" w:after="120"/>
        <w:jc w:val="both"/>
      </w:pPr>
      <w:r w:rsidRPr="00CE1E9D">
        <w:t>Documentos cujas informações básicas possam ser recuperadas em outros;</w:t>
      </w:r>
    </w:p>
    <w:p w:rsidR="001B753D" w:rsidRPr="00CE1E9D" w:rsidRDefault="001B753D" w:rsidP="001B753D">
      <w:pPr>
        <w:pStyle w:val="western"/>
        <w:numPr>
          <w:ilvl w:val="0"/>
          <w:numId w:val="6"/>
        </w:numPr>
        <w:spacing w:before="120" w:after="120"/>
        <w:jc w:val="both"/>
      </w:pPr>
      <w:r w:rsidRPr="00CE1E9D">
        <w:t>Documentos cujos textos tenham sido impressos em sua totalidade;</w:t>
      </w:r>
    </w:p>
    <w:p w:rsidR="001B753D" w:rsidRPr="00CE1E9D" w:rsidRDefault="001B753D" w:rsidP="001B753D">
      <w:pPr>
        <w:pStyle w:val="western"/>
        <w:numPr>
          <w:ilvl w:val="0"/>
          <w:numId w:val="6"/>
        </w:numPr>
        <w:spacing w:before="120" w:after="120"/>
        <w:jc w:val="both"/>
      </w:pPr>
      <w:r w:rsidRPr="00CE1E9D">
        <w:t>Documentos cujos textos estejam reproduzidos em outros;</w:t>
      </w:r>
    </w:p>
    <w:p w:rsidR="001B753D" w:rsidRPr="00CE1E9D" w:rsidRDefault="001B753D" w:rsidP="001B753D">
      <w:pPr>
        <w:pStyle w:val="western"/>
        <w:numPr>
          <w:ilvl w:val="0"/>
          <w:numId w:val="6"/>
        </w:numPr>
        <w:spacing w:before="120" w:after="120"/>
        <w:jc w:val="both"/>
      </w:pPr>
      <w:r w:rsidRPr="00CE1E9D">
        <w:t>Documentos que apresentem repetição da informação e qualidade técnica inferior (foto, fita de vídeo, fita cassete, disquete, disco ótico, etc.</w:t>
      </w:r>
      <w:proofErr w:type="gramStart"/>
      <w:r w:rsidRPr="00CE1E9D">
        <w:t>)</w:t>
      </w:r>
      <w:proofErr w:type="gramEnd"/>
    </w:p>
    <w:p w:rsidR="001B753D" w:rsidRPr="00CE1E9D" w:rsidRDefault="001B753D" w:rsidP="001B753D">
      <w:pPr>
        <w:pStyle w:val="western"/>
        <w:spacing w:before="120" w:after="120"/>
        <w:ind w:firstLine="360"/>
        <w:jc w:val="both"/>
      </w:pPr>
      <w:r w:rsidRPr="00CE1E9D">
        <w:rPr>
          <w:b/>
        </w:rPr>
        <w:t>Documentos de valor secundário e guarda permanente</w:t>
      </w:r>
      <w:r w:rsidRPr="00CE1E9D">
        <w:t>: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Atos de criação, constituição, modificação ou extinção do órgão produtor (Leis, Decretos, Portarias, Resoluções);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Atos normativos que reflitam a organização e funcionamento do órgão (regulamentos, regimentos, normas, organogramas, fluxogramas);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Convênios, ajustes, acordos, termos de cooperação;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Balanços, livros-razão e livros-diário;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Atas, resoluções;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Correspondências relativas à atividade-fim das unidades da Superior Administração;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 xml:space="preserve">Publicações oficiais e/ou </w:t>
      </w:r>
      <w:proofErr w:type="spellStart"/>
      <w:proofErr w:type="gramStart"/>
      <w:r w:rsidRPr="00CE1E9D">
        <w:t>co-produções</w:t>
      </w:r>
      <w:proofErr w:type="spellEnd"/>
      <w:proofErr w:type="gramEnd"/>
      <w:r w:rsidRPr="00CE1E9D">
        <w:t>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Projetos de edificações públicas e particulares;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 xml:space="preserve">Projetos de </w:t>
      </w:r>
      <w:proofErr w:type="spellStart"/>
      <w:proofErr w:type="gramStart"/>
      <w:r w:rsidRPr="00CE1E9D">
        <w:t>infra-estrutura</w:t>
      </w:r>
      <w:proofErr w:type="spellEnd"/>
      <w:proofErr w:type="gramEnd"/>
      <w:r w:rsidRPr="00CE1E9D">
        <w:t xml:space="preserve"> e equipamentos urbanos;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Documentos que firmem jurisprudência jurídica, administrativa ou técnica (pareceres apreciados judicial ou administrativamente e que possuam características inovadoras, não encontradas nos textos legais);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Documentos relativos à administração de pessoal: planos de salários e benefícios, criação/reestruturação de carreiras;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lastRenderedPageBreak/>
        <w:t>Documentos relativos ao patrimônio imobiliário;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Documentos que registrem as atividades-fim do órgão: planos, projetos, programas, pesquisas, relatórios anuais;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Documentos que contenham vinhetas, iluminuras, caligrafias especiais;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Documentos de divulgação de obras, eventos ou atividades desenvolvidas pelo órgão (convites,</w:t>
      </w:r>
      <w:proofErr w:type="gramStart"/>
      <w:r w:rsidRPr="00CE1E9D">
        <w:t xml:space="preserve">  </w:t>
      </w:r>
      <w:proofErr w:type="gramEnd"/>
      <w:r w:rsidRPr="00CE1E9D">
        <w:t>folhetos, cartazes);</w:t>
      </w:r>
    </w:p>
    <w:p w:rsidR="001B753D" w:rsidRPr="00CE1E9D" w:rsidRDefault="001B753D" w:rsidP="001B753D">
      <w:pPr>
        <w:pStyle w:val="western"/>
        <w:numPr>
          <w:ilvl w:val="0"/>
          <w:numId w:val="7"/>
        </w:numPr>
        <w:spacing w:before="120" w:after="120"/>
        <w:jc w:val="both"/>
      </w:pPr>
      <w:r w:rsidRPr="00CE1E9D">
        <w:t>Documentos relativos ao parcelamento do solo.</w:t>
      </w:r>
    </w:p>
    <w:p w:rsidR="001B753D" w:rsidRDefault="001B753D" w:rsidP="001B753D">
      <w:pPr>
        <w:pStyle w:val="western"/>
        <w:spacing w:before="120" w:beforeAutospacing="0" w:after="120"/>
        <w:jc w:val="both"/>
        <w:rPr>
          <w:b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</w:rPr>
      </w:pPr>
      <w:r w:rsidRPr="00CE1E9D">
        <w:rPr>
          <w:b/>
        </w:rPr>
        <w:t>Prazo e destinação estabelecidos pela comissão de avaliação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Trata-se de avaliação consensual sobre estipulação de prazos de guarda do documento em fases corrente e intermediária, além de sua destinação final que pode ser a eliminação ou a guarda permanente.</w:t>
      </w:r>
    </w:p>
    <w:p w:rsidR="001B753D" w:rsidRPr="00CE1E9D" w:rsidRDefault="001B753D" w:rsidP="001B753D">
      <w:pPr>
        <w:pStyle w:val="western"/>
        <w:numPr>
          <w:ilvl w:val="0"/>
          <w:numId w:val="4"/>
        </w:numPr>
        <w:spacing w:before="120" w:beforeAutospacing="0" w:after="120"/>
        <w:jc w:val="both"/>
      </w:pPr>
      <w:r w:rsidRPr="00CE1E9D">
        <w:rPr>
          <w:u w:val="single"/>
        </w:rPr>
        <w:t>Arquivo Corrente</w:t>
      </w:r>
      <w:r w:rsidRPr="00CE1E9D">
        <w:t>: preencher com a mesma descrição do item prazo de vigência.</w:t>
      </w:r>
    </w:p>
    <w:p w:rsidR="001B753D" w:rsidRPr="00CE1E9D" w:rsidRDefault="001B753D" w:rsidP="001B753D">
      <w:pPr>
        <w:pStyle w:val="western"/>
        <w:numPr>
          <w:ilvl w:val="0"/>
          <w:numId w:val="4"/>
        </w:numPr>
        <w:spacing w:before="120" w:beforeAutospacing="0" w:after="120"/>
        <w:jc w:val="both"/>
      </w:pPr>
      <w:r w:rsidRPr="00CE1E9D">
        <w:rPr>
          <w:u w:val="single"/>
        </w:rPr>
        <w:t>Arquivo Intermediário</w:t>
      </w:r>
      <w:r w:rsidRPr="00CE1E9D">
        <w:t>: preencher com a soma dos valores descritos nos itens prazo de prescrição + prazo de precaução.</w:t>
      </w:r>
    </w:p>
    <w:p w:rsidR="001B753D" w:rsidRPr="00CE1E9D" w:rsidRDefault="001B753D" w:rsidP="001B753D">
      <w:pPr>
        <w:pStyle w:val="western"/>
        <w:numPr>
          <w:ilvl w:val="0"/>
          <w:numId w:val="4"/>
        </w:numPr>
        <w:spacing w:before="120" w:beforeAutospacing="0" w:after="120"/>
        <w:jc w:val="both"/>
      </w:pPr>
      <w:r w:rsidRPr="00CE1E9D">
        <w:rPr>
          <w:u w:val="single"/>
        </w:rPr>
        <w:t>Destinação Final</w:t>
      </w:r>
      <w:r w:rsidRPr="00CE1E9D">
        <w:t>: eliminação ou guarda permanente, conforme avaliação dos critérios de destinação (pertinência, densidade e frequência).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  <w:bCs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</w:rPr>
      </w:pPr>
      <w:r w:rsidRPr="00CE1E9D">
        <w:rPr>
          <w:b/>
        </w:rPr>
        <w:t>Observações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color w:val="FF0000"/>
        </w:rPr>
      </w:pPr>
      <w:r w:rsidRPr="00CE1E9D">
        <w:t>Campo em aberto a ser usado quando necessário. As anotações nele contidas referem-se aos dados constantes na parte II do formulário.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Dessa forma, o(s) membro(s) da CADS deve(m) sempre se preocupar em inserir o documento no contexto maior de atividades que podem envolver outros órgãos/setores, bem como formar o tipo documental.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</w:rPr>
      </w:pPr>
      <w:r w:rsidRPr="00CE1E9D">
        <w:rPr>
          <w:b/>
        </w:rPr>
        <w:t>Comissão Setorial de Avaliação de Documentos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</w:pPr>
      <w:r w:rsidRPr="00CE1E9D">
        <w:t>Nome completo dos membros da comissão.</w:t>
      </w: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</w:rPr>
      </w:pPr>
    </w:p>
    <w:p w:rsidR="001B753D" w:rsidRPr="00CE1E9D" w:rsidRDefault="001B753D" w:rsidP="001B753D">
      <w:pPr>
        <w:pStyle w:val="western"/>
        <w:spacing w:before="120" w:beforeAutospacing="0" w:after="120"/>
        <w:jc w:val="both"/>
        <w:rPr>
          <w:b/>
        </w:rPr>
      </w:pPr>
      <w:r w:rsidRPr="00CE1E9D">
        <w:rPr>
          <w:b/>
        </w:rPr>
        <w:t>Assinatura</w:t>
      </w:r>
    </w:p>
    <w:p w:rsidR="001B753D" w:rsidRPr="00C87D9F" w:rsidRDefault="001B753D" w:rsidP="001B753D">
      <w:pPr>
        <w:pStyle w:val="western"/>
        <w:spacing w:before="120" w:beforeAutospacing="0" w:after="120"/>
        <w:jc w:val="both"/>
        <w:rPr>
          <w:rFonts w:ascii="Arial" w:hAnsi="Arial" w:cs="Arial"/>
        </w:rPr>
      </w:pPr>
      <w:r w:rsidRPr="00CE1E9D">
        <w:t>Assinatura dos membros da comissão.</w:t>
      </w:r>
    </w:p>
    <w:p w:rsidR="001B753D" w:rsidRPr="00C87D9F" w:rsidRDefault="001B753D" w:rsidP="001B753D">
      <w:pPr>
        <w:rPr>
          <w:rFonts w:eastAsia="Calibri"/>
          <w:lang w:eastAsia="en-US"/>
        </w:rPr>
      </w:pPr>
    </w:p>
    <w:p w:rsidR="001B753D" w:rsidRDefault="001B753D" w:rsidP="001B753D">
      <w:pPr>
        <w:pStyle w:val="Ttulo1"/>
        <w:numPr>
          <w:ilvl w:val="0"/>
          <w:numId w:val="0"/>
        </w:numPr>
        <w:jc w:val="center"/>
        <w:rPr>
          <w:rFonts w:ascii="Arial" w:eastAsia="Calibri" w:hAnsi="Arial" w:cs="Arial"/>
          <w:szCs w:val="24"/>
          <w:lang w:eastAsia="en-US"/>
        </w:rPr>
      </w:pPr>
    </w:p>
    <w:p w:rsidR="001B753D" w:rsidRDefault="001B753D" w:rsidP="001B753D"/>
    <w:p w:rsidR="00383204" w:rsidRDefault="00383204"/>
    <w:sectPr w:rsidR="00383204" w:rsidSect="00383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71287"/>
    <w:multiLevelType w:val="hybridMultilevel"/>
    <w:tmpl w:val="D0944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614CD"/>
    <w:multiLevelType w:val="hybridMultilevel"/>
    <w:tmpl w:val="87401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E6DDB"/>
    <w:multiLevelType w:val="hybridMultilevel"/>
    <w:tmpl w:val="E20EF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724E5"/>
    <w:multiLevelType w:val="hybridMultilevel"/>
    <w:tmpl w:val="462A4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B63BB"/>
    <w:multiLevelType w:val="hybridMultilevel"/>
    <w:tmpl w:val="7878F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E6A0D"/>
    <w:multiLevelType w:val="hybridMultilevel"/>
    <w:tmpl w:val="87EC0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5202A"/>
    <w:multiLevelType w:val="multilevel"/>
    <w:tmpl w:val="40F0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07E34"/>
    <w:multiLevelType w:val="hybridMultilevel"/>
    <w:tmpl w:val="C428E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36D56"/>
    <w:multiLevelType w:val="hybridMultilevel"/>
    <w:tmpl w:val="8CCE21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53D"/>
    <w:rsid w:val="001B753D"/>
    <w:rsid w:val="00383204"/>
    <w:rsid w:val="004225B8"/>
    <w:rsid w:val="0067240F"/>
    <w:rsid w:val="008F5C59"/>
    <w:rsid w:val="009D3B6A"/>
    <w:rsid w:val="00A2604E"/>
    <w:rsid w:val="00B02728"/>
    <w:rsid w:val="00B71579"/>
    <w:rsid w:val="00E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3D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B753D"/>
    <w:pPr>
      <w:keepNext/>
      <w:numPr>
        <w:numId w:val="1"/>
      </w:numPr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-nfase11">
    <w:name w:val="Sombreamento Claro - Ênfase 11"/>
    <w:basedOn w:val="Tabelanormal"/>
    <w:uiPriority w:val="60"/>
    <w:rsid w:val="00A2604E"/>
    <w:pPr>
      <w:spacing w:after="0" w:line="240" w:lineRule="auto"/>
    </w:pPr>
    <w:rPr>
      <w:rFonts w:ascii="Calibri" w:eastAsia="Calibri" w:hAnsi="Calibri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har">
    <w:name w:val="Título 1 Char"/>
    <w:basedOn w:val="Fontepargpadro"/>
    <w:link w:val="Ttulo1"/>
    <w:rsid w:val="001B753D"/>
    <w:rPr>
      <w:rFonts w:eastAsia="Times New Roman"/>
      <w:szCs w:val="20"/>
      <w:lang w:eastAsia="ar-SA"/>
    </w:rPr>
  </w:style>
  <w:style w:type="paragraph" w:customStyle="1" w:styleId="western">
    <w:name w:val="western"/>
    <w:basedOn w:val="Normal"/>
    <w:rsid w:val="001B753D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5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5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COGED02</dc:creator>
  <cp:keywords/>
  <dc:description/>
  <cp:lastModifiedBy>COGED02</cp:lastModifiedBy>
  <cp:revision>3</cp:revision>
  <dcterms:created xsi:type="dcterms:W3CDTF">2017-05-08T17:46:00Z</dcterms:created>
  <dcterms:modified xsi:type="dcterms:W3CDTF">2017-05-08T17:47:00Z</dcterms:modified>
</cp:coreProperties>
</file>